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B3B12" w14:textId="6BB5B375" w:rsidR="00013B94" w:rsidRDefault="00013B94" w:rsidP="00013B94">
      <w:pPr>
        <w:shd w:val="clear" w:color="auto" w:fill="FFFFFF"/>
        <w:spacing w:before="420" w:after="100" w:afterAutospacing="1"/>
        <w:jc w:val="right"/>
        <w:rPr>
          <w:rFonts w:ascii="Arial" w:eastAsia="Times New Roman" w:hAnsi="Arial" w:cs="Arial"/>
          <w:b/>
          <w:bCs/>
          <w:color w:val="333333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333333"/>
          <w:lang w:eastAsia="en-GB"/>
        </w:rPr>
        <w:drawing>
          <wp:inline distT="0" distB="0" distL="0" distR="0" wp14:anchorId="34B26EE3" wp14:editId="7329490C">
            <wp:extent cx="1955800" cy="13970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E570C" w14:textId="77777777" w:rsidR="00013B94" w:rsidRDefault="00013B94" w:rsidP="00371665">
      <w:pPr>
        <w:shd w:val="clear" w:color="auto" w:fill="FFFFFF"/>
        <w:spacing w:before="420" w:after="100" w:afterAutospacing="1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68B7EADF" w14:textId="1F75E13B" w:rsidR="00371665" w:rsidRPr="00371665" w:rsidRDefault="00371665" w:rsidP="00371665">
      <w:pPr>
        <w:shd w:val="clear" w:color="auto" w:fill="FFFFFF"/>
        <w:spacing w:before="420" w:after="100" w:afterAutospacing="1"/>
        <w:rPr>
          <w:rFonts w:ascii="Arial" w:eastAsia="Times New Roman" w:hAnsi="Arial" w:cs="Arial"/>
          <w:color w:val="333333"/>
          <w:lang w:eastAsia="en-GB"/>
        </w:rPr>
      </w:pPr>
      <w:r w:rsidRPr="00371665">
        <w:rPr>
          <w:rFonts w:ascii="Arial" w:eastAsia="Times New Roman" w:hAnsi="Arial" w:cs="Arial"/>
          <w:b/>
          <w:bCs/>
          <w:color w:val="333333"/>
          <w:lang w:eastAsia="en-GB"/>
        </w:rPr>
        <w:t xml:space="preserve">Refer-a-friend </w:t>
      </w:r>
      <w:r w:rsidR="00013B94">
        <w:rPr>
          <w:rFonts w:ascii="Arial" w:eastAsia="Times New Roman" w:hAnsi="Arial" w:cs="Arial"/>
          <w:b/>
          <w:bCs/>
          <w:color w:val="333333"/>
          <w:lang w:eastAsia="en-GB"/>
        </w:rPr>
        <w:t>promotion</w:t>
      </w:r>
      <w:r w:rsidRPr="00371665">
        <w:rPr>
          <w:rFonts w:ascii="Arial" w:eastAsia="Times New Roman" w:hAnsi="Arial" w:cs="Arial"/>
          <w:b/>
          <w:bCs/>
          <w:color w:val="333333"/>
          <w:lang w:eastAsia="en-GB"/>
        </w:rPr>
        <w:t xml:space="preserve"> terms and conditions: </w:t>
      </w:r>
    </w:p>
    <w:p w14:paraId="72BA63C5" w14:textId="77777777" w:rsidR="00371665" w:rsidRPr="00371665" w:rsidRDefault="00371665" w:rsidP="00371665">
      <w:pPr>
        <w:shd w:val="clear" w:color="auto" w:fill="FFFFFF"/>
        <w:spacing w:before="420" w:after="100" w:afterAutospacing="1"/>
        <w:rPr>
          <w:rFonts w:ascii="Arial" w:eastAsia="Times New Roman" w:hAnsi="Arial" w:cs="Arial"/>
          <w:color w:val="333333"/>
          <w:lang w:eastAsia="en-GB"/>
        </w:rPr>
      </w:pPr>
      <w:r w:rsidRPr="00371665">
        <w:rPr>
          <w:rFonts w:ascii="Arial" w:eastAsia="Times New Roman" w:hAnsi="Arial" w:cs="Arial"/>
          <w:color w:val="333333"/>
          <w:lang w:eastAsia="en-GB"/>
        </w:rPr>
        <w:t>The following are definitions and rules of interpretations applying to these terms and conditions:</w:t>
      </w:r>
    </w:p>
    <w:p w14:paraId="739278F2" w14:textId="75412EFC" w:rsidR="00371665" w:rsidRPr="00371665" w:rsidRDefault="00371665" w:rsidP="00371665">
      <w:pPr>
        <w:shd w:val="clear" w:color="auto" w:fill="FFFFFF"/>
        <w:spacing w:before="420" w:after="100" w:afterAutospacing="1"/>
        <w:rPr>
          <w:rFonts w:ascii="Arial" w:eastAsia="Times New Roman" w:hAnsi="Arial" w:cs="Arial"/>
          <w:color w:val="333333"/>
          <w:lang w:eastAsia="en-GB"/>
        </w:rPr>
      </w:pPr>
      <w:r w:rsidRPr="00371665">
        <w:rPr>
          <w:rFonts w:ascii="Arial" w:eastAsia="Times New Roman" w:hAnsi="Arial" w:cs="Arial"/>
          <w:b/>
          <w:bCs/>
          <w:color w:val="333333"/>
          <w:lang w:eastAsia="en-GB"/>
        </w:rPr>
        <w:t>ABAX: </w:t>
      </w:r>
      <w:r w:rsidRPr="00371665">
        <w:rPr>
          <w:rFonts w:ascii="Arial" w:eastAsia="Times New Roman" w:hAnsi="Arial" w:cs="Arial"/>
          <w:color w:val="333333"/>
          <w:lang w:eastAsia="en-GB"/>
        </w:rPr>
        <w:t>ABAX UK Limited registered in England and Wales with company number 07764543.</w:t>
      </w:r>
      <w:r w:rsidRPr="00371665">
        <w:rPr>
          <w:rFonts w:ascii="Arial" w:eastAsia="Times New Roman" w:hAnsi="Arial" w:cs="Arial"/>
          <w:color w:val="333333"/>
          <w:lang w:eastAsia="en-GB"/>
        </w:rPr>
        <w:br/>
      </w:r>
      <w:r w:rsidRPr="00371665">
        <w:rPr>
          <w:rFonts w:ascii="Arial" w:eastAsia="Times New Roman" w:hAnsi="Arial" w:cs="Arial"/>
          <w:b/>
          <w:bCs/>
          <w:color w:val="333333"/>
          <w:lang w:eastAsia="en-GB"/>
        </w:rPr>
        <w:t>Customer</w:t>
      </w:r>
      <w:r w:rsidRPr="00371665">
        <w:rPr>
          <w:rFonts w:ascii="Arial" w:eastAsia="Times New Roman" w:hAnsi="Arial" w:cs="Arial"/>
          <w:color w:val="333333"/>
          <w:lang w:eastAsia="en-GB"/>
        </w:rPr>
        <w:t>: A business or consumer that current uses an ABAX service.</w:t>
      </w:r>
      <w:r w:rsidRPr="00371665">
        <w:rPr>
          <w:rFonts w:ascii="Arial" w:eastAsia="Times New Roman" w:hAnsi="Arial" w:cs="Arial"/>
          <w:color w:val="333333"/>
          <w:lang w:eastAsia="en-GB"/>
        </w:rPr>
        <w:br/>
      </w:r>
      <w:r w:rsidRPr="00371665">
        <w:rPr>
          <w:rFonts w:ascii="Arial" w:eastAsia="Times New Roman" w:hAnsi="Arial" w:cs="Arial"/>
          <w:b/>
          <w:bCs/>
          <w:color w:val="333333"/>
          <w:lang w:eastAsia="en-GB"/>
        </w:rPr>
        <w:t>Service(s)</w:t>
      </w:r>
      <w:r w:rsidRPr="00371665">
        <w:rPr>
          <w:rFonts w:ascii="Arial" w:eastAsia="Times New Roman" w:hAnsi="Arial" w:cs="Arial"/>
          <w:color w:val="333333"/>
          <w:lang w:eastAsia="en-GB"/>
        </w:rPr>
        <w:t xml:space="preserve">: Supplied by ABAX and </w:t>
      </w:r>
      <w:r w:rsidRPr="00371665">
        <w:rPr>
          <w:rFonts w:ascii="Arial" w:eastAsia="Times New Roman" w:hAnsi="Arial" w:cs="Arial"/>
          <w:color w:val="333333"/>
          <w:lang w:eastAsia="en-GB"/>
        </w:rPr>
        <w:t>include</w:t>
      </w:r>
      <w:r w:rsidRPr="00371665">
        <w:rPr>
          <w:rFonts w:ascii="Arial" w:eastAsia="Times New Roman" w:hAnsi="Arial" w:cs="Arial"/>
          <w:color w:val="333333"/>
          <w:lang w:eastAsia="en-GB"/>
        </w:rPr>
        <w:t xml:space="preserve"> ABAX </w:t>
      </w:r>
      <w:proofErr w:type="spellStart"/>
      <w:r w:rsidRPr="00371665">
        <w:rPr>
          <w:rFonts w:ascii="Arial" w:eastAsia="Times New Roman" w:hAnsi="Arial" w:cs="Arial"/>
          <w:color w:val="333333"/>
          <w:lang w:eastAsia="en-GB"/>
        </w:rPr>
        <w:t>Triplog</w:t>
      </w:r>
      <w:proofErr w:type="spellEnd"/>
      <w:r w:rsidRPr="00371665">
        <w:rPr>
          <w:rFonts w:ascii="Arial" w:eastAsia="Times New Roman" w:hAnsi="Arial" w:cs="Arial"/>
          <w:color w:val="333333"/>
          <w:lang w:eastAsia="en-GB"/>
        </w:rPr>
        <w:t>, ABAX Equipment Control and ABAX Worker.</w:t>
      </w:r>
      <w:r w:rsidRPr="00371665">
        <w:rPr>
          <w:rFonts w:ascii="Arial" w:eastAsia="Times New Roman" w:hAnsi="Arial" w:cs="Arial"/>
          <w:color w:val="333333"/>
          <w:lang w:eastAsia="en-GB"/>
        </w:rPr>
        <w:br/>
      </w:r>
      <w:r w:rsidRPr="00371665">
        <w:rPr>
          <w:rFonts w:ascii="Arial" w:eastAsia="Times New Roman" w:hAnsi="Arial" w:cs="Arial"/>
          <w:b/>
          <w:bCs/>
          <w:color w:val="333333"/>
          <w:lang w:eastAsia="en-GB"/>
        </w:rPr>
        <w:t>Subscription(s): </w:t>
      </w:r>
      <w:r w:rsidRPr="00371665">
        <w:rPr>
          <w:rFonts w:ascii="Arial" w:eastAsia="Times New Roman" w:hAnsi="Arial" w:cs="Arial"/>
          <w:color w:val="333333"/>
          <w:lang w:eastAsia="en-GB"/>
        </w:rPr>
        <w:t>A unit of a Service subject to the standard ABAX UK Terms and Conditions.</w:t>
      </w:r>
    </w:p>
    <w:p w14:paraId="5536C9D5" w14:textId="77777777" w:rsidR="00371665" w:rsidRPr="00371665" w:rsidRDefault="00371665" w:rsidP="00371665">
      <w:pPr>
        <w:shd w:val="clear" w:color="auto" w:fill="FFFFFF"/>
        <w:spacing w:before="420" w:after="100" w:afterAutospacing="1"/>
        <w:rPr>
          <w:rFonts w:ascii="Arial" w:eastAsia="Times New Roman" w:hAnsi="Arial" w:cs="Arial"/>
          <w:color w:val="333333"/>
          <w:lang w:eastAsia="en-GB"/>
        </w:rPr>
      </w:pPr>
      <w:r w:rsidRPr="00371665">
        <w:rPr>
          <w:rFonts w:ascii="Arial" w:eastAsia="Times New Roman" w:hAnsi="Arial" w:cs="Arial"/>
          <w:color w:val="333333"/>
          <w:lang w:eastAsia="en-GB"/>
        </w:rPr>
        <w:t>The promotion is available subject to the following conditions.</w:t>
      </w:r>
    </w:p>
    <w:p w14:paraId="31E9DC34" w14:textId="77777777" w:rsidR="00371665" w:rsidRPr="00371665" w:rsidRDefault="00371665" w:rsidP="00371665">
      <w:pPr>
        <w:numPr>
          <w:ilvl w:val="0"/>
          <w:numId w:val="1"/>
        </w:numPr>
        <w:shd w:val="clear" w:color="auto" w:fill="FFFFFF"/>
        <w:spacing w:before="100" w:beforeAutospacing="1"/>
        <w:ind w:left="1032"/>
        <w:rPr>
          <w:rFonts w:ascii="Arial" w:eastAsia="Times New Roman" w:hAnsi="Arial" w:cs="Arial"/>
          <w:color w:val="333333"/>
          <w:lang w:eastAsia="en-GB"/>
        </w:rPr>
      </w:pPr>
      <w:r w:rsidRPr="00371665">
        <w:rPr>
          <w:rFonts w:ascii="Arial" w:eastAsia="Times New Roman" w:hAnsi="Arial" w:cs="Arial"/>
          <w:color w:val="333333"/>
          <w:lang w:eastAsia="en-GB"/>
        </w:rPr>
        <w:t>The promotion will run from 16/09/2020 until closed within ABAX UK.</w:t>
      </w:r>
    </w:p>
    <w:p w14:paraId="73B178F9" w14:textId="77777777" w:rsidR="00371665" w:rsidRPr="00371665" w:rsidRDefault="00371665" w:rsidP="00371665">
      <w:pPr>
        <w:numPr>
          <w:ilvl w:val="0"/>
          <w:numId w:val="1"/>
        </w:numPr>
        <w:shd w:val="clear" w:color="auto" w:fill="FFFFFF"/>
        <w:spacing w:before="100" w:beforeAutospacing="1"/>
        <w:ind w:left="1032"/>
        <w:rPr>
          <w:rFonts w:ascii="Arial" w:eastAsia="Times New Roman" w:hAnsi="Arial" w:cs="Arial"/>
          <w:color w:val="333333"/>
          <w:lang w:eastAsia="en-GB"/>
        </w:rPr>
      </w:pPr>
      <w:r w:rsidRPr="00371665">
        <w:rPr>
          <w:rFonts w:ascii="Arial" w:eastAsia="Times New Roman" w:hAnsi="Arial" w:cs="Arial"/>
          <w:color w:val="333333"/>
          <w:lang w:eastAsia="en-GB"/>
        </w:rPr>
        <w:t>The promotion is only available to Customers of ABAX.</w:t>
      </w:r>
    </w:p>
    <w:p w14:paraId="7A7AF099" w14:textId="77777777" w:rsidR="00371665" w:rsidRPr="00371665" w:rsidRDefault="00371665" w:rsidP="00371665">
      <w:pPr>
        <w:numPr>
          <w:ilvl w:val="0"/>
          <w:numId w:val="1"/>
        </w:numPr>
        <w:shd w:val="clear" w:color="auto" w:fill="FFFFFF"/>
        <w:spacing w:before="100" w:beforeAutospacing="1"/>
        <w:ind w:left="1032"/>
        <w:rPr>
          <w:rFonts w:ascii="Arial" w:eastAsia="Times New Roman" w:hAnsi="Arial" w:cs="Arial"/>
          <w:color w:val="333333"/>
          <w:lang w:eastAsia="en-GB"/>
        </w:rPr>
      </w:pPr>
      <w:r w:rsidRPr="00371665">
        <w:rPr>
          <w:rFonts w:ascii="Arial" w:eastAsia="Times New Roman" w:hAnsi="Arial" w:cs="Arial"/>
          <w:color w:val="333333"/>
          <w:lang w:eastAsia="en-GB"/>
        </w:rPr>
        <w:t>ABAX has the right to cancel or not send any fuel cards. </w:t>
      </w:r>
    </w:p>
    <w:p w14:paraId="596D1F6E" w14:textId="77777777" w:rsidR="00371665" w:rsidRPr="00371665" w:rsidRDefault="00371665" w:rsidP="00371665">
      <w:pPr>
        <w:numPr>
          <w:ilvl w:val="0"/>
          <w:numId w:val="1"/>
        </w:numPr>
        <w:shd w:val="clear" w:color="auto" w:fill="FFFFFF"/>
        <w:spacing w:before="100" w:beforeAutospacing="1"/>
        <w:ind w:left="1032"/>
        <w:rPr>
          <w:rFonts w:ascii="Arial" w:eastAsia="Times New Roman" w:hAnsi="Arial" w:cs="Arial"/>
          <w:color w:val="333333"/>
          <w:lang w:eastAsia="en-GB"/>
        </w:rPr>
      </w:pPr>
      <w:r w:rsidRPr="00371665">
        <w:rPr>
          <w:rFonts w:ascii="Arial" w:eastAsia="Times New Roman" w:hAnsi="Arial" w:cs="Arial"/>
          <w:color w:val="333333"/>
          <w:lang w:eastAsia="en-GB"/>
        </w:rPr>
        <w:t>Each reward is payable on payment of your friend’s first invoice.</w:t>
      </w:r>
    </w:p>
    <w:p w14:paraId="4A5BB6EC" w14:textId="77777777" w:rsidR="00371665" w:rsidRPr="00371665" w:rsidRDefault="00371665" w:rsidP="00371665">
      <w:pPr>
        <w:numPr>
          <w:ilvl w:val="0"/>
          <w:numId w:val="1"/>
        </w:numPr>
        <w:shd w:val="clear" w:color="auto" w:fill="FFFFFF"/>
        <w:spacing w:before="100" w:beforeAutospacing="1"/>
        <w:ind w:left="1032"/>
        <w:rPr>
          <w:rFonts w:ascii="Arial" w:eastAsia="Times New Roman" w:hAnsi="Arial" w:cs="Arial"/>
          <w:color w:val="333333"/>
          <w:lang w:eastAsia="en-GB"/>
        </w:rPr>
      </w:pPr>
      <w:r w:rsidRPr="00371665">
        <w:rPr>
          <w:rFonts w:ascii="Arial" w:eastAsia="Times New Roman" w:hAnsi="Arial" w:cs="Arial"/>
          <w:color w:val="333333"/>
          <w:lang w:eastAsia="en-GB"/>
        </w:rPr>
        <w:t>The Customer that makes the referral is rewarded following a successful sale of an ABAX Service.</w:t>
      </w:r>
    </w:p>
    <w:p w14:paraId="3B854E28" w14:textId="77777777" w:rsidR="00371665" w:rsidRPr="00371665" w:rsidRDefault="00371665" w:rsidP="00371665">
      <w:pPr>
        <w:numPr>
          <w:ilvl w:val="0"/>
          <w:numId w:val="1"/>
        </w:numPr>
        <w:shd w:val="clear" w:color="auto" w:fill="FFFFFF"/>
        <w:spacing w:before="100" w:beforeAutospacing="1"/>
        <w:ind w:left="1032"/>
        <w:rPr>
          <w:rFonts w:ascii="Arial" w:eastAsia="Times New Roman" w:hAnsi="Arial" w:cs="Arial"/>
          <w:color w:val="333333"/>
          <w:lang w:eastAsia="en-GB"/>
        </w:rPr>
      </w:pPr>
      <w:r w:rsidRPr="00371665">
        <w:rPr>
          <w:rFonts w:ascii="Arial" w:eastAsia="Times New Roman" w:hAnsi="Arial" w:cs="Arial"/>
          <w:color w:val="333333"/>
          <w:lang w:eastAsia="en-GB"/>
        </w:rPr>
        <w:t>A valid referral includes all of the following details: Company name, decision makers name, their contact details and your acceptance that we can contact the individual.</w:t>
      </w:r>
    </w:p>
    <w:p w14:paraId="041426E2" w14:textId="77777777" w:rsidR="00371665" w:rsidRPr="00371665" w:rsidRDefault="00371665" w:rsidP="00371665">
      <w:pPr>
        <w:numPr>
          <w:ilvl w:val="0"/>
          <w:numId w:val="1"/>
        </w:numPr>
        <w:shd w:val="clear" w:color="auto" w:fill="FFFFFF"/>
        <w:spacing w:before="100" w:beforeAutospacing="1"/>
        <w:ind w:left="1032"/>
        <w:rPr>
          <w:rFonts w:ascii="Arial" w:eastAsia="Times New Roman" w:hAnsi="Arial" w:cs="Arial"/>
          <w:color w:val="333333"/>
          <w:lang w:eastAsia="en-GB"/>
        </w:rPr>
      </w:pPr>
      <w:r w:rsidRPr="00371665">
        <w:rPr>
          <w:rFonts w:ascii="Arial" w:eastAsia="Times New Roman" w:hAnsi="Arial" w:cs="Arial"/>
          <w:color w:val="333333"/>
          <w:lang w:eastAsia="en-GB"/>
        </w:rPr>
        <w:t>The referral must be entered via the ABAX landing page (fuel image) for auditing purposes.</w:t>
      </w:r>
    </w:p>
    <w:p w14:paraId="1424511F" w14:textId="77777777" w:rsidR="00371665" w:rsidRPr="00371665" w:rsidRDefault="00371665" w:rsidP="00371665">
      <w:pPr>
        <w:numPr>
          <w:ilvl w:val="0"/>
          <w:numId w:val="1"/>
        </w:numPr>
        <w:shd w:val="clear" w:color="auto" w:fill="FFFFFF"/>
        <w:spacing w:before="100" w:beforeAutospacing="1"/>
        <w:ind w:left="1032"/>
        <w:rPr>
          <w:rFonts w:ascii="Arial" w:eastAsia="Times New Roman" w:hAnsi="Arial" w:cs="Arial"/>
          <w:color w:val="333333"/>
          <w:lang w:eastAsia="en-GB"/>
        </w:rPr>
      </w:pPr>
      <w:r w:rsidRPr="00371665">
        <w:rPr>
          <w:rFonts w:ascii="Arial" w:eastAsia="Times New Roman" w:hAnsi="Arial" w:cs="Arial"/>
          <w:color w:val="333333"/>
          <w:lang w:eastAsia="en-GB"/>
        </w:rPr>
        <w:t xml:space="preserve">ABAX may decline any referral where, in the previous 12 months detailed contractual discussion or demonstrations of an ABAX Service has taken place. For </w:t>
      </w:r>
      <w:proofErr w:type="gramStart"/>
      <w:r w:rsidRPr="00371665">
        <w:rPr>
          <w:rFonts w:ascii="Arial" w:eastAsia="Times New Roman" w:hAnsi="Arial" w:cs="Arial"/>
          <w:color w:val="333333"/>
          <w:lang w:eastAsia="en-GB"/>
        </w:rPr>
        <w:t>example</w:t>
      </w:r>
      <w:proofErr w:type="gramEnd"/>
      <w:r w:rsidRPr="00371665">
        <w:rPr>
          <w:rFonts w:ascii="Arial" w:eastAsia="Times New Roman" w:hAnsi="Arial" w:cs="Arial"/>
          <w:color w:val="333333"/>
          <w:lang w:eastAsia="en-GB"/>
        </w:rPr>
        <w:t xml:space="preserve"> if the referrers account is in arrears.</w:t>
      </w:r>
    </w:p>
    <w:p w14:paraId="5048BB66" w14:textId="77777777" w:rsidR="00371665" w:rsidRPr="00371665" w:rsidRDefault="00371665" w:rsidP="00371665">
      <w:pPr>
        <w:numPr>
          <w:ilvl w:val="0"/>
          <w:numId w:val="1"/>
        </w:numPr>
        <w:shd w:val="clear" w:color="auto" w:fill="FFFFFF"/>
        <w:spacing w:before="100" w:beforeAutospacing="1"/>
        <w:ind w:left="1032"/>
        <w:rPr>
          <w:rFonts w:ascii="Arial" w:eastAsia="Times New Roman" w:hAnsi="Arial" w:cs="Arial"/>
          <w:color w:val="333333"/>
          <w:lang w:eastAsia="en-GB"/>
        </w:rPr>
      </w:pPr>
      <w:r w:rsidRPr="00371665">
        <w:rPr>
          <w:rFonts w:ascii="Arial" w:eastAsia="Times New Roman" w:hAnsi="Arial" w:cs="Arial"/>
          <w:color w:val="333333"/>
          <w:lang w:eastAsia="en-GB"/>
        </w:rPr>
        <w:t>No cash alternative is available.</w:t>
      </w:r>
    </w:p>
    <w:p w14:paraId="114A072F" w14:textId="77777777" w:rsidR="00371665" w:rsidRPr="00371665" w:rsidRDefault="00371665" w:rsidP="00371665">
      <w:pPr>
        <w:numPr>
          <w:ilvl w:val="0"/>
          <w:numId w:val="1"/>
        </w:numPr>
        <w:shd w:val="clear" w:color="auto" w:fill="FFFFFF"/>
        <w:spacing w:before="100" w:beforeAutospacing="1"/>
        <w:ind w:left="1032"/>
        <w:rPr>
          <w:rFonts w:ascii="Arial" w:eastAsia="Times New Roman" w:hAnsi="Arial" w:cs="Arial"/>
          <w:color w:val="333333"/>
          <w:lang w:eastAsia="en-GB"/>
        </w:rPr>
      </w:pPr>
      <w:r w:rsidRPr="00371665">
        <w:rPr>
          <w:rFonts w:ascii="Arial" w:eastAsia="Times New Roman" w:hAnsi="Arial" w:cs="Arial"/>
          <w:color w:val="333333"/>
          <w:lang w:eastAsia="en-GB"/>
        </w:rPr>
        <w:t>ABAX reserves the right to offer an alternative reward of equal or greater value.</w:t>
      </w:r>
    </w:p>
    <w:p w14:paraId="6002425B" w14:textId="09F0144C" w:rsidR="00371665" w:rsidRPr="00371665" w:rsidRDefault="00371665" w:rsidP="00371665">
      <w:pPr>
        <w:numPr>
          <w:ilvl w:val="0"/>
          <w:numId w:val="1"/>
        </w:numPr>
        <w:shd w:val="clear" w:color="auto" w:fill="FFFFFF"/>
        <w:spacing w:before="100" w:beforeAutospacing="1"/>
        <w:ind w:left="1032"/>
        <w:rPr>
          <w:rFonts w:ascii="Arial" w:eastAsia="Times New Roman" w:hAnsi="Arial" w:cs="Arial"/>
          <w:color w:val="333333"/>
          <w:lang w:eastAsia="en-GB"/>
        </w:rPr>
      </w:pPr>
      <w:r w:rsidRPr="00371665">
        <w:rPr>
          <w:rFonts w:ascii="Arial" w:eastAsia="Times New Roman" w:hAnsi="Arial" w:cs="Arial"/>
          <w:color w:val="333333"/>
          <w:lang w:eastAsia="en-GB"/>
        </w:rPr>
        <w:t xml:space="preserve">One </w:t>
      </w:r>
      <w:r w:rsidR="00B426E9">
        <w:rPr>
          <w:rFonts w:ascii="Arial" w:eastAsia="Times New Roman" w:hAnsi="Arial" w:cs="Arial"/>
          <w:color w:val="333333"/>
          <w:lang w:eastAsia="en-GB"/>
        </w:rPr>
        <w:t>Mastercard is</w:t>
      </w:r>
      <w:r w:rsidRPr="00371665">
        <w:rPr>
          <w:rFonts w:ascii="Arial" w:eastAsia="Times New Roman" w:hAnsi="Arial" w:cs="Arial"/>
          <w:color w:val="333333"/>
          <w:lang w:eastAsia="en-GB"/>
        </w:rPr>
        <w:t xml:space="preserve"> worth no more than £75 is available per friend you have referred.</w:t>
      </w:r>
    </w:p>
    <w:p w14:paraId="51B8844F" w14:textId="77777777" w:rsidR="00371665" w:rsidRPr="00371665" w:rsidRDefault="00371665" w:rsidP="00371665">
      <w:pPr>
        <w:numPr>
          <w:ilvl w:val="0"/>
          <w:numId w:val="1"/>
        </w:numPr>
        <w:shd w:val="clear" w:color="auto" w:fill="FFFFFF"/>
        <w:spacing w:before="100" w:beforeAutospacing="1"/>
        <w:ind w:left="1032"/>
        <w:rPr>
          <w:rFonts w:ascii="Arial" w:eastAsia="Times New Roman" w:hAnsi="Arial" w:cs="Arial"/>
          <w:color w:val="333333"/>
          <w:lang w:eastAsia="en-GB"/>
        </w:rPr>
      </w:pPr>
      <w:r w:rsidRPr="00371665">
        <w:rPr>
          <w:rFonts w:ascii="Arial" w:eastAsia="Times New Roman" w:hAnsi="Arial" w:cs="Arial"/>
          <w:color w:val="333333"/>
          <w:lang w:eastAsia="en-GB"/>
        </w:rPr>
        <w:lastRenderedPageBreak/>
        <w:t>Rewards will be issued once payment has been received for the new ABAX Service.</w:t>
      </w:r>
    </w:p>
    <w:p w14:paraId="2EB8B014" w14:textId="77777777" w:rsidR="00371665" w:rsidRPr="00371665" w:rsidRDefault="00371665" w:rsidP="00371665">
      <w:pPr>
        <w:numPr>
          <w:ilvl w:val="0"/>
          <w:numId w:val="1"/>
        </w:numPr>
        <w:shd w:val="clear" w:color="auto" w:fill="FFFFFF"/>
        <w:spacing w:before="100" w:beforeAutospacing="1"/>
        <w:ind w:left="1032"/>
        <w:rPr>
          <w:rFonts w:ascii="Arial" w:eastAsia="Times New Roman" w:hAnsi="Arial" w:cs="Arial"/>
          <w:color w:val="333333"/>
          <w:lang w:eastAsia="en-GB"/>
        </w:rPr>
      </w:pPr>
      <w:r w:rsidRPr="00371665">
        <w:rPr>
          <w:rFonts w:ascii="Arial" w:eastAsia="Times New Roman" w:hAnsi="Arial" w:cs="Arial"/>
          <w:color w:val="333333"/>
          <w:lang w:eastAsia="en-GB"/>
        </w:rPr>
        <w:t>Please allow up to 6 weeks to process the reward and ABAX can send the rewards up to 6 weeks later.</w:t>
      </w:r>
    </w:p>
    <w:p w14:paraId="7E47BFE3" w14:textId="77777777" w:rsidR="00371665" w:rsidRPr="00371665" w:rsidRDefault="00371665" w:rsidP="00371665">
      <w:pPr>
        <w:numPr>
          <w:ilvl w:val="0"/>
          <w:numId w:val="1"/>
        </w:numPr>
        <w:shd w:val="clear" w:color="auto" w:fill="FFFFFF"/>
        <w:spacing w:before="100" w:beforeAutospacing="1"/>
        <w:ind w:left="1032"/>
        <w:rPr>
          <w:rFonts w:ascii="Arial" w:eastAsia="Times New Roman" w:hAnsi="Arial" w:cs="Arial"/>
          <w:color w:val="333333"/>
          <w:lang w:eastAsia="en-GB"/>
        </w:rPr>
      </w:pPr>
      <w:r w:rsidRPr="00371665">
        <w:rPr>
          <w:rFonts w:ascii="Arial" w:eastAsia="Times New Roman" w:hAnsi="Arial" w:cs="Arial"/>
          <w:color w:val="333333"/>
          <w:lang w:eastAsia="en-GB"/>
        </w:rPr>
        <w:t>Participants must be aged 18 or over and cannot be employees of ABAX or an employee's immediate family.</w:t>
      </w:r>
    </w:p>
    <w:p w14:paraId="21995264" w14:textId="77777777" w:rsidR="00371665" w:rsidRPr="00371665" w:rsidRDefault="00371665" w:rsidP="00371665">
      <w:pPr>
        <w:numPr>
          <w:ilvl w:val="0"/>
          <w:numId w:val="1"/>
        </w:numPr>
        <w:shd w:val="clear" w:color="auto" w:fill="FFFFFF"/>
        <w:spacing w:before="100" w:beforeAutospacing="1"/>
        <w:ind w:left="1032"/>
        <w:rPr>
          <w:rFonts w:ascii="Arial" w:eastAsia="Times New Roman" w:hAnsi="Arial" w:cs="Arial"/>
          <w:color w:val="333333"/>
          <w:lang w:eastAsia="en-GB"/>
        </w:rPr>
      </w:pPr>
      <w:r w:rsidRPr="00371665">
        <w:rPr>
          <w:rFonts w:ascii="Arial" w:eastAsia="Times New Roman" w:hAnsi="Arial" w:cs="Arial"/>
          <w:color w:val="333333"/>
          <w:lang w:eastAsia="en-GB"/>
        </w:rPr>
        <w:t>Accepting a reward may give rise to a tax liability, which will be the Company responsibility.</w:t>
      </w:r>
    </w:p>
    <w:p w14:paraId="11FA8199" w14:textId="77777777" w:rsidR="00371665" w:rsidRPr="00371665" w:rsidRDefault="00371665" w:rsidP="00371665">
      <w:pPr>
        <w:numPr>
          <w:ilvl w:val="0"/>
          <w:numId w:val="1"/>
        </w:numPr>
        <w:shd w:val="clear" w:color="auto" w:fill="FFFFFF"/>
        <w:spacing w:before="100" w:beforeAutospacing="1"/>
        <w:ind w:left="1032"/>
        <w:rPr>
          <w:rFonts w:ascii="Arial" w:eastAsia="Times New Roman" w:hAnsi="Arial" w:cs="Arial"/>
          <w:color w:val="333333"/>
          <w:lang w:eastAsia="en-GB"/>
        </w:rPr>
      </w:pPr>
      <w:r w:rsidRPr="00371665">
        <w:rPr>
          <w:rFonts w:ascii="Arial" w:eastAsia="Times New Roman" w:hAnsi="Arial" w:cs="Arial"/>
          <w:color w:val="333333"/>
          <w:lang w:eastAsia="en-GB"/>
        </w:rPr>
        <w:t>ABAX reserves the right to disqualify any Customer in the event ABAX believes that they have breached these terms and conditions.</w:t>
      </w:r>
    </w:p>
    <w:p w14:paraId="524A980F" w14:textId="77777777" w:rsidR="00371665" w:rsidRPr="00371665" w:rsidRDefault="00371665" w:rsidP="00371665">
      <w:pPr>
        <w:numPr>
          <w:ilvl w:val="0"/>
          <w:numId w:val="1"/>
        </w:numPr>
        <w:shd w:val="clear" w:color="auto" w:fill="FFFFFF"/>
        <w:spacing w:before="100" w:beforeAutospacing="1"/>
        <w:ind w:left="1032"/>
        <w:rPr>
          <w:rFonts w:ascii="Arial" w:eastAsia="Times New Roman" w:hAnsi="Arial" w:cs="Arial"/>
          <w:color w:val="333333"/>
          <w:lang w:eastAsia="en-GB"/>
        </w:rPr>
      </w:pPr>
      <w:r w:rsidRPr="00371665">
        <w:rPr>
          <w:rFonts w:ascii="Arial" w:eastAsia="Times New Roman" w:hAnsi="Arial" w:cs="Arial"/>
          <w:color w:val="333333"/>
          <w:lang w:eastAsia="en-GB"/>
        </w:rPr>
        <w:t>ABAX reserves the right to withdraw this promotion at any time.</w:t>
      </w:r>
    </w:p>
    <w:p w14:paraId="12B84A40" w14:textId="77777777" w:rsidR="00371665" w:rsidRPr="00371665" w:rsidRDefault="00371665" w:rsidP="00371665">
      <w:pPr>
        <w:numPr>
          <w:ilvl w:val="0"/>
          <w:numId w:val="1"/>
        </w:numPr>
        <w:shd w:val="clear" w:color="auto" w:fill="FFFFFF"/>
        <w:spacing w:before="100" w:beforeAutospacing="1"/>
        <w:ind w:left="1032"/>
        <w:rPr>
          <w:rFonts w:ascii="Arial" w:eastAsia="Times New Roman" w:hAnsi="Arial" w:cs="Arial"/>
          <w:color w:val="333333"/>
          <w:lang w:eastAsia="en-GB"/>
        </w:rPr>
      </w:pPr>
      <w:r w:rsidRPr="00371665">
        <w:rPr>
          <w:rFonts w:ascii="Arial" w:eastAsia="Times New Roman" w:hAnsi="Arial" w:cs="Arial"/>
          <w:color w:val="333333"/>
          <w:lang w:eastAsia="en-GB"/>
        </w:rPr>
        <w:t>English law applies and the exclusive jurisdiction of the English Courts shall prevail.</w:t>
      </w:r>
    </w:p>
    <w:p w14:paraId="430521B6" w14:textId="77777777" w:rsidR="00371665" w:rsidRPr="00371665" w:rsidRDefault="00371665" w:rsidP="00371665">
      <w:pPr>
        <w:shd w:val="clear" w:color="auto" w:fill="FFFFFF"/>
        <w:spacing w:before="420" w:after="100" w:afterAutospacing="1"/>
        <w:rPr>
          <w:rFonts w:ascii="Arial" w:eastAsia="Times New Roman" w:hAnsi="Arial" w:cs="Arial"/>
          <w:color w:val="333333"/>
          <w:lang w:eastAsia="en-GB"/>
        </w:rPr>
      </w:pPr>
      <w:r w:rsidRPr="00371665">
        <w:rPr>
          <w:rFonts w:ascii="Arial" w:eastAsia="Times New Roman" w:hAnsi="Arial" w:cs="Arial"/>
          <w:color w:val="333333"/>
          <w:lang w:eastAsia="en-GB"/>
        </w:rPr>
        <w:t>For queries, please contact:</w:t>
      </w:r>
      <w:r w:rsidRPr="00371665">
        <w:rPr>
          <w:rFonts w:ascii="Arial" w:eastAsia="Times New Roman" w:hAnsi="Arial" w:cs="Arial"/>
          <w:color w:val="333333"/>
          <w:lang w:eastAsia="en-GB"/>
        </w:rPr>
        <w:br/>
        <w:t xml:space="preserve">ABAX UK Limited, </w:t>
      </w:r>
      <w:proofErr w:type="spellStart"/>
      <w:r w:rsidRPr="00371665">
        <w:rPr>
          <w:rFonts w:ascii="Arial" w:eastAsia="Times New Roman" w:hAnsi="Arial" w:cs="Arial"/>
          <w:color w:val="333333"/>
          <w:lang w:eastAsia="en-GB"/>
        </w:rPr>
        <w:t>Allia</w:t>
      </w:r>
      <w:proofErr w:type="spellEnd"/>
      <w:r w:rsidRPr="00371665">
        <w:rPr>
          <w:rFonts w:ascii="Arial" w:eastAsia="Times New Roman" w:hAnsi="Arial" w:cs="Arial"/>
          <w:color w:val="333333"/>
          <w:lang w:eastAsia="en-GB"/>
        </w:rPr>
        <w:t xml:space="preserve"> Business Centre, ABAX Stadium, London Road, Peterborough, PE2 8AN</w:t>
      </w:r>
      <w:r w:rsidRPr="00371665">
        <w:rPr>
          <w:rFonts w:ascii="Arial" w:eastAsia="Times New Roman" w:hAnsi="Arial" w:cs="Arial"/>
          <w:color w:val="333333"/>
          <w:lang w:eastAsia="en-GB"/>
        </w:rPr>
        <w:br/>
        <w:t>Tel: </w:t>
      </w:r>
      <w:hyperlink r:id="rId6" w:history="1">
        <w:r w:rsidRPr="00371665">
          <w:rPr>
            <w:rFonts w:ascii="Arial" w:eastAsia="Times New Roman" w:hAnsi="Arial" w:cs="Arial"/>
            <w:color w:val="008387"/>
            <w:u w:val="single"/>
            <w:lang w:eastAsia="en-GB"/>
          </w:rPr>
          <w:t>01733 698888</w:t>
        </w:r>
      </w:hyperlink>
      <w:r w:rsidRPr="00371665">
        <w:rPr>
          <w:rFonts w:ascii="Arial" w:eastAsia="Times New Roman" w:hAnsi="Arial" w:cs="Arial"/>
          <w:color w:val="333333"/>
          <w:lang w:eastAsia="en-GB"/>
        </w:rPr>
        <w:br/>
        <w:t>Email: </w:t>
      </w:r>
      <w:hyperlink r:id="rId7" w:history="1">
        <w:r w:rsidRPr="00371665">
          <w:rPr>
            <w:rFonts w:ascii="Arial" w:eastAsia="Times New Roman" w:hAnsi="Arial" w:cs="Arial"/>
            <w:color w:val="008387"/>
            <w:u w:val="single"/>
            <w:lang w:eastAsia="en-GB"/>
          </w:rPr>
          <w:t>info@abax.co.uk</w:t>
        </w:r>
      </w:hyperlink>
    </w:p>
    <w:p w14:paraId="65B68E2E" w14:textId="77777777" w:rsidR="00601BCD" w:rsidRDefault="00601BCD"/>
    <w:sectPr w:rsidR="00601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805B1"/>
    <w:multiLevelType w:val="multilevel"/>
    <w:tmpl w:val="FA32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65"/>
    <w:rsid w:val="00013B94"/>
    <w:rsid w:val="00371665"/>
    <w:rsid w:val="00601BCD"/>
    <w:rsid w:val="00B4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84856"/>
  <w15:chartTrackingRefBased/>
  <w15:docId w15:val="{C56403D8-F67F-AA41-8EB4-534ADFAA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6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716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1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bax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173369888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Lang-Norris</dc:creator>
  <cp:keywords/>
  <dc:description/>
  <cp:lastModifiedBy>Allen Lang-Norris</cp:lastModifiedBy>
  <cp:revision>2</cp:revision>
  <dcterms:created xsi:type="dcterms:W3CDTF">2021-03-25T10:37:00Z</dcterms:created>
  <dcterms:modified xsi:type="dcterms:W3CDTF">2021-03-25T11:02:00Z</dcterms:modified>
</cp:coreProperties>
</file>